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bottom w:val="single" w:sz="36" w:space="0" w:color="auto"/>
        </w:tblBorders>
        <w:tblLook w:val="04A0" w:firstRow="1" w:lastRow="0" w:firstColumn="1" w:lastColumn="0" w:noHBand="0" w:noVBand="1"/>
      </w:tblPr>
      <w:tblGrid>
        <w:gridCol w:w="10204"/>
      </w:tblGrid>
      <w:tr w:rsidR="007962A5" w:rsidRPr="00941EE9" w:rsidTr="002B052E">
        <w:trPr>
          <w:jc w:val="right"/>
        </w:trPr>
        <w:tc>
          <w:tcPr>
            <w:tcW w:w="10420" w:type="dxa"/>
            <w:tcBorders>
              <w:bottom w:val="single" w:sz="36" w:space="0" w:color="1F497D"/>
            </w:tcBorders>
            <w:shd w:val="clear" w:color="auto" w:fill="auto"/>
          </w:tcPr>
          <w:p w:rsidR="007962A5" w:rsidRPr="00B12490" w:rsidRDefault="007962A5" w:rsidP="002B052E">
            <w:pPr>
              <w:spacing w:after="0" w:line="240" w:lineRule="auto"/>
              <w:jc w:val="right"/>
              <w:rPr>
                <w:rFonts w:ascii="Cambria" w:hAnsi="Cambria"/>
                <w:sz w:val="36"/>
                <w:szCs w:val="36"/>
              </w:rPr>
            </w:pPr>
            <w:bookmarkStart w:id="0" w:name="_GoBack"/>
            <w:bookmarkEnd w:id="0"/>
            <w:r w:rsidRPr="00B12490">
              <w:rPr>
                <w:noProof/>
                <w:sz w:val="36"/>
                <w:szCs w:val="36"/>
                <w:lang w:eastAsia="fr-FR"/>
              </w:rPr>
              <w:drawing>
                <wp:anchor distT="0" distB="0" distL="114300" distR="114300" simplePos="0" relativeHeight="251659264" behindDoc="1" locked="0" layoutInCell="1" allowOverlap="1" wp14:anchorId="0547070D" wp14:editId="10E627FC">
                  <wp:simplePos x="0" y="0"/>
                  <wp:positionH relativeFrom="column">
                    <wp:posOffset>-61595</wp:posOffset>
                  </wp:positionH>
                  <wp:positionV relativeFrom="paragraph">
                    <wp:posOffset>-137795</wp:posOffset>
                  </wp:positionV>
                  <wp:extent cx="1713865" cy="124650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86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90">
              <w:rPr>
                <w:rFonts w:ascii="Cambria" w:hAnsi="Cambria"/>
                <w:sz w:val="36"/>
                <w:szCs w:val="36"/>
              </w:rPr>
              <w:t>Saisine du Comité Social Territorial</w:t>
            </w:r>
          </w:p>
          <w:p w:rsidR="007962A5" w:rsidRPr="00941EE9" w:rsidRDefault="007962A5" w:rsidP="002B052E">
            <w:pPr>
              <w:spacing w:after="0" w:line="240" w:lineRule="auto"/>
              <w:jc w:val="right"/>
              <w:rPr>
                <w:rFonts w:ascii="Cambria" w:hAnsi="Cambria"/>
              </w:rPr>
            </w:pPr>
          </w:p>
          <w:p w:rsidR="007962A5" w:rsidRPr="00941EE9" w:rsidRDefault="007962A5" w:rsidP="002B052E">
            <w:pPr>
              <w:spacing w:after="0" w:line="240" w:lineRule="auto"/>
              <w:rPr>
                <w:rFonts w:ascii="Cambria" w:hAnsi="Cambria"/>
              </w:rPr>
            </w:pPr>
          </w:p>
          <w:p w:rsidR="003B733A" w:rsidRPr="003B733A" w:rsidRDefault="003B733A" w:rsidP="000D2D82">
            <w:pPr>
              <w:spacing w:after="0" w:line="240" w:lineRule="auto"/>
              <w:jc w:val="right"/>
              <w:rPr>
                <w:rFonts w:ascii="Cambria" w:hAnsi="Cambria"/>
                <w:b/>
                <w:sz w:val="40"/>
                <w:szCs w:val="40"/>
                <w:u w:val="single"/>
              </w:rPr>
            </w:pPr>
            <w:r w:rsidRPr="003B733A">
              <w:rPr>
                <w:rFonts w:ascii="Cambria" w:hAnsi="Cambria"/>
                <w:b/>
                <w:sz w:val="40"/>
                <w:szCs w:val="40"/>
                <w:u w:val="single"/>
              </w:rPr>
              <w:t xml:space="preserve">MISE EN PLACE DE LA </w:t>
            </w:r>
            <w:r w:rsidR="000D2D82" w:rsidRPr="003B733A">
              <w:rPr>
                <w:rFonts w:ascii="Cambria" w:hAnsi="Cambria"/>
                <w:b/>
                <w:sz w:val="40"/>
                <w:szCs w:val="40"/>
                <w:u w:val="single"/>
              </w:rPr>
              <w:t xml:space="preserve">PRIME </w:t>
            </w:r>
          </w:p>
          <w:p w:rsidR="007962A5" w:rsidRPr="003B733A" w:rsidRDefault="000D2D82" w:rsidP="003B733A">
            <w:pPr>
              <w:spacing w:after="0" w:line="240" w:lineRule="auto"/>
              <w:jc w:val="right"/>
              <w:rPr>
                <w:rFonts w:ascii="Cambria" w:hAnsi="Cambria"/>
                <w:b/>
                <w:sz w:val="40"/>
                <w:szCs w:val="40"/>
                <w:u w:val="single"/>
              </w:rPr>
            </w:pPr>
            <w:r w:rsidRPr="003B733A">
              <w:rPr>
                <w:rFonts w:ascii="Cambria" w:hAnsi="Cambria"/>
                <w:b/>
                <w:sz w:val="40"/>
                <w:szCs w:val="40"/>
                <w:u w:val="single"/>
              </w:rPr>
              <w:t>DE POUVOIR D’ACHAT EXCEPTIONNELLE</w:t>
            </w:r>
          </w:p>
          <w:p w:rsidR="007962A5" w:rsidRPr="00941EE9" w:rsidRDefault="007962A5" w:rsidP="002B052E">
            <w:pPr>
              <w:spacing w:after="0" w:line="240" w:lineRule="auto"/>
              <w:jc w:val="right"/>
              <w:rPr>
                <w:b/>
                <w:sz w:val="16"/>
                <w:szCs w:val="16"/>
                <w:u w:val="single"/>
              </w:rPr>
            </w:pPr>
          </w:p>
        </w:tc>
      </w:tr>
    </w:tbl>
    <w:p w:rsidR="007962A5" w:rsidRDefault="007962A5" w:rsidP="007962A5">
      <w:pPr>
        <w:spacing w:after="0" w:line="240" w:lineRule="auto"/>
      </w:pPr>
    </w:p>
    <w:p w:rsidR="007962A5" w:rsidRDefault="007962A5" w:rsidP="007962A5">
      <w:pPr>
        <w:spacing w:after="0" w:line="240" w:lineRule="auto"/>
        <w:jc w:val="both"/>
        <w:rPr>
          <w:rFonts w:ascii="Cambria" w:hAnsi="Cambria"/>
        </w:rPr>
      </w:pPr>
      <w:r w:rsidRPr="00FA749A">
        <w:rPr>
          <w:rFonts w:ascii="Cambria" w:hAnsi="Cambria"/>
          <w:b/>
          <w:u w:val="single"/>
        </w:rPr>
        <w:t>Collectivité</w:t>
      </w:r>
      <w:r w:rsidRPr="000D748A">
        <w:rPr>
          <w:rFonts w:ascii="Cambria" w:hAnsi="Cambria"/>
        </w:rPr>
        <w:t> : ………………………………………………</w:t>
      </w:r>
      <w:proofErr w:type="gramStart"/>
      <w:r w:rsidRPr="000D748A">
        <w:rPr>
          <w:rFonts w:ascii="Cambria" w:hAnsi="Cambria"/>
        </w:rPr>
        <w:t>…</w:t>
      </w:r>
      <w:r>
        <w:rPr>
          <w:rFonts w:ascii="Cambria" w:hAnsi="Cambria"/>
        </w:rPr>
        <w:t>….</w:t>
      </w:r>
      <w:proofErr w:type="gramEnd"/>
      <w:r w:rsidRPr="000D748A">
        <w:rPr>
          <w:rFonts w:ascii="Cambria" w:hAnsi="Cambria"/>
        </w:rPr>
        <w:t>………………………………………………………………</w:t>
      </w:r>
      <w:r>
        <w:rPr>
          <w:rFonts w:ascii="Cambria" w:hAnsi="Cambria"/>
        </w:rPr>
        <w:t>…………………</w:t>
      </w:r>
      <w:r w:rsidRPr="000D748A">
        <w:rPr>
          <w:rFonts w:ascii="Cambria" w:hAnsi="Cambria"/>
        </w:rPr>
        <w:t>……</w:t>
      </w:r>
    </w:p>
    <w:p w:rsidR="007962A5" w:rsidRDefault="007962A5" w:rsidP="007962A5">
      <w:pPr>
        <w:spacing w:after="0" w:line="240" w:lineRule="auto"/>
        <w:jc w:val="both"/>
        <w:rPr>
          <w:rFonts w:ascii="Cambria" w:hAnsi="Cambria"/>
        </w:rPr>
      </w:pPr>
    </w:p>
    <w:p w:rsidR="007962A5" w:rsidRPr="00FA749A" w:rsidRDefault="007962A5" w:rsidP="007962A5">
      <w:pPr>
        <w:spacing w:after="0" w:line="240" w:lineRule="auto"/>
        <w:jc w:val="center"/>
        <w:rPr>
          <w:rFonts w:ascii="Cambria" w:hAnsi="Cambria"/>
          <w:b/>
        </w:rPr>
      </w:pPr>
      <w:r w:rsidRPr="00FA749A">
        <w:rPr>
          <w:rFonts w:ascii="Cambria" w:hAnsi="Cambria"/>
          <w:b/>
          <w:u w:val="single"/>
        </w:rPr>
        <w:t>Coordonnées de la personne en charge du dossier</w:t>
      </w:r>
      <w:r w:rsidRPr="00FA749A">
        <w:rPr>
          <w:rFonts w:ascii="Cambria" w:hAnsi="Cambria"/>
          <w:b/>
        </w:rPr>
        <w:t> :</w:t>
      </w:r>
    </w:p>
    <w:p w:rsidR="007962A5" w:rsidRPr="00FA749A" w:rsidRDefault="007962A5" w:rsidP="007962A5">
      <w:pPr>
        <w:spacing w:after="0" w:line="240" w:lineRule="auto"/>
        <w:jc w:val="both"/>
        <w:rPr>
          <w:rFonts w:ascii="Cambria" w:hAnsi="Cambria"/>
          <w:sz w:val="16"/>
          <w:szCs w:val="16"/>
        </w:rPr>
      </w:pPr>
    </w:p>
    <w:p w:rsidR="007962A5" w:rsidRDefault="007962A5" w:rsidP="007962A5">
      <w:pPr>
        <w:spacing w:after="0" w:line="240" w:lineRule="auto"/>
        <w:jc w:val="both"/>
        <w:rPr>
          <w:rFonts w:ascii="Cambria" w:hAnsi="Cambria"/>
        </w:rPr>
      </w:pPr>
      <w:r>
        <w:rPr>
          <w:rFonts w:ascii="Cambria" w:hAnsi="Cambria"/>
        </w:rPr>
        <w:t>Prénom/Nom : …………………………………………………............................................................................................................................</w:t>
      </w:r>
    </w:p>
    <w:p w:rsidR="007962A5" w:rsidRDefault="007962A5" w:rsidP="007962A5">
      <w:pPr>
        <w:spacing w:after="0" w:line="240" w:lineRule="auto"/>
        <w:jc w:val="both"/>
        <w:rPr>
          <w:rFonts w:ascii="Cambria" w:hAnsi="Cambria"/>
        </w:rPr>
      </w:pPr>
    </w:p>
    <w:p w:rsidR="007962A5" w:rsidRDefault="007962A5" w:rsidP="007962A5">
      <w:pPr>
        <w:spacing w:after="0" w:line="240" w:lineRule="auto"/>
        <w:jc w:val="both"/>
        <w:rPr>
          <w:rFonts w:ascii="Cambria" w:hAnsi="Cambria"/>
        </w:rPr>
      </w:pPr>
      <w:r>
        <w:rPr>
          <w:rFonts w:ascii="Cambria" w:hAnsi="Cambria"/>
        </w:rPr>
        <w:t>Adresse de la collectivité : …………………………………………………………………………………………………………………………...</w:t>
      </w:r>
    </w:p>
    <w:p w:rsidR="007962A5" w:rsidRPr="00FA749A" w:rsidRDefault="007962A5" w:rsidP="007962A5">
      <w:pPr>
        <w:spacing w:after="0" w:line="240" w:lineRule="auto"/>
        <w:jc w:val="both"/>
        <w:rPr>
          <w:rFonts w:ascii="Cambria" w:hAnsi="Cambria"/>
          <w:sz w:val="16"/>
          <w:szCs w:val="16"/>
        </w:rPr>
      </w:pPr>
    </w:p>
    <w:p w:rsidR="007962A5" w:rsidRDefault="007962A5" w:rsidP="007962A5">
      <w:pPr>
        <w:spacing w:after="0" w:line="240" w:lineRule="auto"/>
        <w:jc w:val="both"/>
        <w:rPr>
          <w:rFonts w:ascii="Cambria" w:hAnsi="Cambria"/>
        </w:rPr>
      </w:pPr>
      <w:r>
        <w:rPr>
          <w:rFonts w:ascii="Cambria" w:hAnsi="Cambria"/>
        </w:rPr>
        <w:t>Tél : …………………………………………………….</w:t>
      </w:r>
      <w:r>
        <w:rPr>
          <w:rFonts w:ascii="Cambria" w:hAnsi="Cambria"/>
        </w:rPr>
        <w:tab/>
        <w:t>Courriel : ……………………………………………………………………………….</w:t>
      </w:r>
    </w:p>
    <w:p w:rsidR="007962A5" w:rsidRDefault="007962A5" w:rsidP="007962A5">
      <w:pPr>
        <w:pBdr>
          <w:bottom w:val="single" w:sz="36" w:space="1" w:color="1F497D"/>
        </w:pBd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b/>
          <w:u w:val="single"/>
        </w:rPr>
      </w:pPr>
    </w:p>
    <w:p w:rsidR="007962A5" w:rsidRPr="00E25EB6" w:rsidRDefault="007962A5" w:rsidP="007962A5">
      <w:pPr>
        <w:spacing w:after="0" w:line="240" w:lineRule="auto"/>
        <w:rPr>
          <w:rFonts w:ascii="Cambria" w:hAnsi="Cambria"/>
          <w:b/>
        </w:rPr>
      </w:pPr>
      <w:r>
        <w:rPr>
          <w:rFonts w:ascii="Cambria" w:hAnsi="Cambria"/>
          <w:b/>
          <w:u w:val="single"/>
        </w:rPr>
        <w:t xml:space="preserve">Date d’entrée en vigueur : </w:t>
      </w:r>
    </w:p>
    <w:p w:rsidR="007962A5" w:rsidRDefault="007962A5" w:rsidP="007962A5">
      <w:pPr>
        <w:spacing w:after="0" w:line="240" w:lineRule="auto"/>
        <w:rPr>
          <w:rFonts w:ascii="Cambria" w:hAnsi="Cambria"/>
        </w:rPr>
      </w:pPr>
    </w:p>
    <w:p w:rsidR="000D2D82" w:rsidRDefault="000D2D82" w:rsidP="000D2D82">
      <w:pPr>
        <w:spacing w:after="0" w:line="240" w:lineRule="auto"/>
        <w:rPr>
          <w:rFonts w:ascii="Cambria" w:hAnsi="Cambria"/>
          <w:b/>
          <w:u w:val="single"/>
        </w:rPr>
      </w:pPr>
    </w:p>
    <w:p w:rsidR="000D2D82" w:rsidRPr="00E25EB6" w:rsidRDefault="000D2D82" w:rsidP="000D2D82">
      <w:pPr>
        <w:spacing w:after="0" w:line="240" w:lineRule="auto"/>
        <w:rPr>
          <w:rFonts w:ascii="Cambria" w:hAnsi="Cambria"/>
          <w:b/>
        </w:rPr>
      </w:pPr>
      <w:r>
        <w:rPr>
          <w:rFonts w:ascii="Cambria" w:hAnsi="Cambria"/>
          <w:b/>
          <w:u w:val="single"/>
        </w:rPr>
        <w:t xml:space="preserve">Document à joindre : </w:t>
      </w:r>
      <w:r w:rsidRPr="00153763">
        <w:rPr>
          <w:rFonts w:ascii="Cambria" w:hAnsi="Cambria"/>
        </w:rPr>
        <w:t xml:space="preserve">le projet de délibération </w:t>
      </w: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969"/>
      </w:tblGrid>
      <w:tr w:rsidR="00B12490" w:rsidRPr="00BD6C89" w:rsidTr="00A66814">
        <w:trPr>
          <w:trHeight w:val="345"/>
        </w:trPr>
        <w:tc>
          <w:tcPr>
            <w:tcW w:w="6487" w:type="dxa"/>
            <w:gridSpan w:val="2"/>
            <w:tcBorders>
              <w:top w:val="single" w:sz="18" w:space="0" w:color="auto"/>
              <w:left w:val="single" w:sz="18" w:space="0" w:color="auto"/>
              <w:bottom w:val="single" w:sz="18" w:space="0" w:color="auto"/>
              <w:right w:val="single" w:sz="18" w:space="0" w:color="auto"/>
            </w:tcBorders>
            <w:shd w:val="clear" w:color="auto" w:fill="D9D9D9"/>
          </w:tcPr>
          <w:p w:rsidR="00B12490" w:rsidRPr="00BD6C89" w:rsidRDefault="00B12490" w:rsidP="00A66814">
            <w:pPr>
              <w:spacing w:after="0" w:line="240" w:lineRule="auto"/>
              <w:jc w:val="center"/>
              <w:rPr>
                <w:rFonts w:ascii="Cambria" w:hAnsi="Cambria"/>
                <w:b/>
                <w:u w:val="single"/>
              </w:rPr>
            </w:pPr>
            <w:r w:rsidRPr="00BD6C89">
              <w:rPr>
                <w:rFonts w:ascii="Cambria" w:hAnsi="Cambria"/>
                <w:b/>
              </w:rPr>
              <w:t>Cadre réservé au Centre de Gestion</w:t>
            </w:r>
          </w:p>
        </w:tc>
        <w:tc>
          <w:tcPr>
            <w:tcW w:w="3969" w:type="dxa"/>
            <w:vMerge w:val="restart"/>
            <w:tcBorders>
              <w:left w:val="single" w:sz="18" w:space="0" w:color="auto"/>
              <w:bottom w:val="single" w:sz="4" w:space="0" w:color="auto"/>
            </w:tcBorders>
            <w:shd w:val="clear" w:color="auto" w:fill="auto"/>
          </w:tcPr>
          <w:p w:rsidR="00B12490" w:rsidRPr="00BD6C89" w:rsidRDefault="00B12490" w:rsidP="00A66814">
            <w:pPr>
              <w:spacing w:after="0" w:line="240" w:lineRule="auto"/>
              <w:rPr>
                <w:rFonts w:ascii="Cambria" w:hAnsi="Cambria"/>
                <w:sz w:val="16"/>
                <w:szCs w:val="16"/>
              </w:rPr>
            </w:pPr>
          </w:p>
          <w:p w:rsidR="00B12490" w:rsidRPr="00BD6C89" w:rsidRDefault="00B12490" w:rsidP="00A66814">
            <w:pPr>
              <w:spacing w:after="0" w:line="240" w:lineRule="auto"/>
              <w:rPr>
                <w:rFonts w:ascii="Cambria" w:hAnsi="Cambria"/>
              </w:rPr>
            </w:pPr>
            <w:r w:rsidRPr="00BD6C89">
              <w:rPr>
                <w:rFonts w:ascii="Cambria" w:hAnsi="Cambria"/>
              </w:rPr>
              <w:t>Fait à …………………………………………….</w:t>
            </w:r>
          </w:p>
          <w:p w:rsidR="00B12490" w:rsidRPr="00BD6C89" w:rsidRDefault="00B12490" w:rsidP="00A66814">
            <w:pPr>
              <w:spacing w:after="0" w:line="240" w:lineRule="auto"/>
              <w:rPr>
                <w:rFonts w:ascii="Cambria" w:hAnsi="Cambria"/>
              </w:rPr>
            </w:pPr>
            <w:r w:rsidRPr="00BD6C89">
              <w:rPr>
                <w:rFonts w:ascii="Cambria" w:hAnsi="Cambria"/>
              </w:rPr>
              <w:t>Le …………………………………………………</w:t>
            </w: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jc w:val="center"/>
              <w:rPr>
                <w:rFonts w:ascii="Cambria" w:hAnsi="Cambria"/>
                <w:i/>
                <w:sz w:val="20"/>
                <w:szCs w:val="20"/>
              </w:rPr>
            </w:pPr>
            <w:r w:rsidRPr="00BD6C89">
              <w:rPr>
                <w:rFonts w:ascii="Cambria" w:hAnsi="Cambria"/>
                <w:i/>
                <w:sz w:val="20"/>
                <w:szCs w:val="20"/>
              </w:rPr>
              <w:t>Cachet et signature de l’autorité territoriale</w:t>
            </w:r>
          </w:p>
        </w:tc>
      </w:tr>
      <w:tr w:rsidR="00B12490" w:rsidRPr="00BD6C89" w:rsidTr="00A66814">
        <w:trPr>
          <w:trHeight w:val="2340"/>
        </w:trPr>
        <w:tc>
          <w:tcPr>
            <w:tcW w:w="3085" w:type="dxa"/>
            <w:tcBorders>
              <w:top w:val="single" w:sz="18" w:space="0" w:color="auto"/>
              <w:left w:val="single" w:sz="18" w:space="0" w:color="auto"/>
              <w:bottom w:val="single" w:sz="18" w:space="0" w:color="auto"/>
              <w:right w:val="single" w:sz="18" w:space="0" w:color="auto"/>
            </w:tcBorders>
            <w:shd w:val="clear" w:color="auto" w:fill="auto"/>
          </w:tcPr>
          <w:p w:rsidR="00B12490" w:rsidRPr="00BD6C89" w:rsidRDefault="00B12490" w:rsidP="00A66814">
            <w:pPr>
              <w:spacing w:after="0" w:line="240" w:lineRule="auto"/>
              <w:jc w:val="center"/>
              <w:rPr>
                <w:rFonts w:ascii="Cambria" w:hAnsi="Cambria"/>
                <w:b/>
                <w:u w:val="single"/>
              </w:rPr>
            </w:pPr>
            <w:r w:rsidRPr="00BD6C89">
              <w:rPr>
                <w:rFonts w:ascii="Cambria" w:hAnsi="Cambria"/>
                <w:b/>
                <w:u w:val="single"/>
              </w:rPr>
              <w:t>Avis du collège des représentants des élus</w:t>
            </w:r>
          </w:p>
          <w:p w:rsidR="00B12490" w:rsidRPr="00BD6C89" w:rsidRDefault="00B12490" w:rsidP="00A66814">
            <w:pPr>
              <w:spacing w:after="0" w:line="240" w:lineRule="auto"/>
              <w:rPr>
                <w:rFonts w:ascii="Cambria" w:hAnsi="Cambria"/>
                <w:b/>
                <w:sz w:val="16"/>
                <w:szCs w:val="16"/>
              </w:rPr>
            </w:pP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Favorable</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la majorité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l’unanimité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Partagé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Abstention</w:t>
            </w:r>
          </w:p>
          <w:p w:rsidR="00B12490" w:rsidRPr="00BD6C89" w:rsidRDefault="00B12490" w:rsidP="00A66814">
            <w:pPr>
              <w:spacing w:after="0" w:line="240" w:lineRule="auto"/>
              <w:jc w:val="center"/>
              <w:rPr>
                <w:rFonts w:ascii="Cambria" w:hAnsi="Cambria"/>
                <w:b/>
                <w:u w:val="single"/>
              </w:rPr>
            </w:pPr>
          </w:p>
        </w:tc>
        <w:tc>
          <w:tcPr>
            <w:tcW w:w="3402" w:type="dxa"/>
            <w:tcBorders>
              <w:top w:val="single" w:sz="18" w:space="0" w:color="auto"/>
              <w:left w:val="single" w:sz="18" w:space="0" w:color="auto"/>
              <w:bottom w:val="single" w:sz="18" w:space="0" w:color="auto"/>
              <w:right w:val="single" w:sz="18" w:space="0" w:color="auto"/>
            </w:tcBorders>
            <w:shd w:val="clear" w:color="auto" w:fill="auto"/>
          </w:tcPr>
          <w:p w:rsidR="00B12490" w:rsidRPr="00BD6C89" w:rsidRDefault="00B12490" w:rsidP="00A66814">
            <w:pPr>
              <w:spacing w:after="0" w:line="240" w:lineRule="auto"/>
              <w:jc w:val="center"/>
              <w:rPr>
                <w:rFonts w:ascii="Cambria" w:hAnsi="Cambria"/>
                <w:b/>
                <w:u w:val="single"/>
              </w:rPr>
            </w:pPr>
            <w:r w:rsidRPr="00BD6C89">
              <w:rPr>
                <w:rFonts w:ascii="Cambria" w:hAnsi="Cambria"/>
                <w:b/>
                <w:u w:val="single"/>
              </w:rPr>
              <w:t>Avis du collège des représentants du personnel</w:t>
            </w:r>
          </w:p>
          <w:p w:rsidR="00B12490" w:rsidRPr="00BD6C89" w:rsidRDefault="00B12490" w:rsidP="00A66814">
            <w:pPr>
              <w:spacing w:after="0" w:line="240" w:lineRule="auto"/>
              <w:jc w:val="center"/>
              <w:rPr>
                <w:rFonts w:ascii="Cambria" w:hAnsi="Cambria"/>
                <w:b/>
                <w:sz w:val="16"/>
                <w:szCs w:val="16"/>
              </w:rPr>
            </w:pP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Favorable</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la majorité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l’unanimité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Partagé</w:t>
            </w:r>
          </w:p>
          <w:p w:rsidR="00B12490" w:rsidRPr="00BD6C89" w:rsidRDefault="00B12490"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Abstention</w:t>
            </w:r>
          </w:p>
          <w:p w:rsidR="00B12490" w:rsidRPr="00BD6C89" w:rsidRDefault="00B12490" w:rsidP="00A66814">
            <w:pPr>
              <w:spacing w:after="0" w:line="240" w:lineRule="auto"/>
              <w:rPr>
                <w:rFonts w:ascii="Cambria" w:hAnsi="Cambria"/>
                <w:b/>
                <w:u w:val="single"/>
              </w:rPr>
            </w:pPr>
          </w:p>
        </w:tc>
        <w:tc>
          <w:tcPr>
            <w:tcW w:w="3969" w:type="dxa"/>
            <w:vMerge/>
            <w:tcBorders>
              <w:left w:val="single" w:sz="18" w:space="0" w:color="auto"/>
              <w:bottom w:val="single" w:sz="4" w:space="0" w:color="auto"/>
            </w:tcBorders>
            <w:shd w:val="clear" w:color="auto" w:fill="auto"/>
          </w:tcPr>
          <w:p w:rsidR="00B12490" w:rsidRPr="00BD6C89" w:rsidRDefault="00B12490" w:rsidP="00A66814">
            <w:pPr>
              <w:spacing w:after="0" w:line="240" w:lineRule="auto"/>
              <w:rPr>
                <w:rFonts w:ascii="Cambria" w:hAnsi="Cambria"/>
                <w:sz w:val="16"/>
                <w:szCs w:val="16"/>
              </w:rPr>
            </w:pPr>
          </w:p>
        </w:tc>
      </w:tr>
      <w:tr w:rsidR="00B12490" w:rsidRPr="00BD6C89" w:rsidTr="00A66814">
        <w:tc>
          <w:tcPr>
            <w:tcW w:w="6487" w:type="dxa"/>
            <w:gridSpan w:val="2"/>
            <w:tcBorders>
              <w:top w:val="single" w:sz="18" w:space="0" w:color="auto"/>
              <w:left w:val="single" w:sz="18" w:space="0" w:color="auto"/>
              <w:bottom w:val="single" w:sz="18" w:space="0" w:color="auto"/>
              <w:right w:val="single" w:sz="18" w:space="0" w:color="auto"/>
            </w:tcBorders>
            <w:shd w:val="clear" w:color="auto" w:fill="auto"/>
          </w:tcPr>
          <w:p w:rsidR="00B12490" w:rsidRPr="00BD6C89" w:rsidRDefault="00B12490" w:rsidP="00A66814">
            <w:pPr>
              <w:spacing w:after="0" w:line="240" w:lineRule="auto"/>
              <w:rPr>
                <w:rFonts w:ascii="Cambria" w:hAnsi="Cambria"/>
                <w:sz w:val="16"/>
                <w:szCs w:val="16"/>
              </w:rPr>
            </w:pPr>
          </w:p>
          <w:p w:rsidR="00B12490" w:rsidRPr="00BD6C89" w:rsidRDefault="00B12490" w:rsidP="00A66814">
            <w:pPr>
              <w:spacing w:after="0" w:line="240" w:lineRule="auto"/>
              <w:rPr>
                <w:rFonts w:ascii="Cambria" w:hAnsi="Cambria"/>
              </w:rPr>
            </w:pPr>
            <w:r w:rsidRPr="00BD6C89">
              <w:rPr>
                <w:rFonts w:ascii="Cambria" w:hAnsi="Cambria"/>
              </w:rPr>
              <w:t>Fait à AMIENS, le ………………………………………………………………………</w:t>
            </w:r>
          </w:p>
          <w:p w:rsidR="00B12490" w:rsidRPr="00BD6C89" w:rsidRDefault="00B12490" w:rsidP="00A66814">
            <w:pPr>
              <w:spacing w:after="0" w:line="240" w:lineRule="auto"/>
              <w:rPr>
                <w:rFonts w:ascii="Cambria" w:hAnsi="Cambria"/>
                <w:sz w:val="16"/>
                <w:szCs w:val="16"/>
              </w:rPr>
            </w:pPr>
          </w:p>
          <w:p w:rsidR="00B12490" w:rsidRPr="00BD6C89" w:rsidRDefault="00B12490" w:rsidP="00A66814">
            <w:pPr>
              <w:spacing w:after="0" w:line="240" w:lineRule="auto"/>
              <w:jc w:val="right"/>
              <w:rPr>
                <w:rFonts w:ascii="Cambria" w:hAnsi="Cambria"/>
              </w:rPr>
            </w:pPr>
            <w:r>
              <w:rPr>
                <w:rFonts w:ascii="Cambria" w:hAnsi="Cambria"/>
              </w:rPr>
              <w:t>La</w:t>
            </w:r>
            <w:r w:rsidRPr="00BD6C89">
              <w:rPr>
                <w:rFonts w:ascii="Cambria" w:hAnsi="Cambria"/>
              </w:rPr>
              <w:t xml:space="preserve"> Président</w:t>
            </w:r>
            <w:r>
              <w:rPr>
                <w:rFonts w:ascii="Cambria" w:hAnsi="Cambria"/>
              </w:rPr>
              <w:t>e du Comité Social Territorial</w:t>
            </w:r>
          </w:p>
          <w:p w:rsidR="00B12490" w:rsidRPr="00BD6C89" w:rsidRDefault="00B12490" w:rsidP="00A66814">
            <w:pPr>
              <w:spacing w:after="0" w:line="240" w:lineRule="auto"/>
              <w:jc w:val="right"/>
              <w:rPr>
                <w:rFonts w:ascii="Cambria" w:hAnsi="Cambria"/>
              </w:rPr>
            </w:pPr>
            <w:r>
              <w:rPr>
                <w:rFonts w:ascii="Cambria" w:hAnsi="Cambria"/>
              </w:rPr>
              <w:t>Annick MARECHAL</w:t>
            </w:r>
          </w:p>
          <w:p w:rsidR="00B12490" w:rsidRDefault="00B12490" w:rsidP="00A66814">
            <w:pPr>
              <w:spacing w:after="0" w:line="240" w:lineRule="auto"/>
              <w:jc w:val="right"/>
              <w:rPr>
                <w:rFonts w:ascii="Cambria" w:hAnsi="Cambria"/>
                <w:i/>
              </w:rPr>
            </w:pPr>
            <w:r w:rsidRPr="00BD6C89">
              <w:rPr>
                <w:rFonts w:ascii="Cambria" w:hAnsi="Cambria"/>
                <w:i/>
              </w:rPr>
              <w:t xml:space="preserve">Maire de </w:t>
            </w:r>
            <w:proofErr w:type="spellStart"/>
            <w:r>
              <w:rPr>
                <w:rFonts w:ascii="Cambria" w:hAnsi="Cambria"/>
                <w:i/>
              </w:rPr>
              <w:t>Vauvillers</w:t>
            </w:r>
            <w:proofErr w:type="spellEnd"/>
          </w:p>
          <w:p w:rsidR="00B12490" w:rsidRPr="00BD6C89" w:rsidRDefault="00B12490" w:rsidP="00A66814">
            <w:pPr>
              <w:spacing w:after="0" w:line="240" w:lineRule="auto"/>
              <w:jc w:val="right"/>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p w:rsidR="00B12490" w:rsidRPr="00BD6C89" w:rsidRDefault="00B12490" w:rsidP="00A66814">
            <w:pPr>
              <w:spacing w:after="0" w:line="240" w:lineRule="auto"/>
              <w:rPr>
                <w:rFonts w:ascii="Cambria" w:hAnsi="Cambria"/>
              </w:rPr>
            </w:pPr>
          </w:p>
        </w:tc>
        <w:tc>
          <w:tcPr>
            <w:tcW w:w="3969" w:type="dxa"/>
            <w:vMerge/>
            <w:tcBorders>
              <w:left w:val="single" w:sz="18" w:space="0" w:color="auto"/>
              <w:bottom w:val="single" w:sz="4" w:space="0" w:color="auto"/>
            </w:tcBorders>
            <w:shd w:val="clear" w:color="auto" w:fill="auto"/>
          </w:tcPr>
          <w:p w:rsidR="00B12490" w:rsidRPr="00BD6C89" w:rsidRDefault="00B12490" w:rsidP="00A66814">
            <w:pPr>
              <w:spacing w:after="0" w:line="240" w:lineRule="auto"/>
              <w:rPr>
                <w:rFonts w:ascii="Cambria" w:hAnsi="Cambria"/>
              </w:rPr>
            </w:pPr>
          </w:p>
        </w:tc>
      </w:tr>
    </w:tbl>
    <w:p w:rsidR="00B12490" w:rsidRDefault="00B12490" w:rsidP="00B12490">
      <w:pPr>
        <w:tabs>
          <w:tab w:val="left" w:pos="7110"/>
        </w:tabs>
        <w:spacing w:after="0" w:line="240" w:lineRule="auto"/>
        <w:ind w:left="708"/>
        <w:rPr>
          <w:sz w:val="16"/>
          <w:szCs w:val="16"/>
        </w:rPr>
      </w:pPr>
    </w:p>
    <w:p w:rsidR="00B12490" w:rsidRDefault="00B12490" w:rsidP="00B12490">
      <w:pPr>
        <w:tabs>
          <w:tab w:val="left" w:pos="7110"/>
        </w:tabs>
        <w:spacing w:after="0" w:line="240" w:lineRule="auto"/>
        <w:ind w:left="708"/>
        <w:rPr>
          <w:sz w:val="16"/>
          <w:szCs w:val="16"/>
        </w:rPr>
      </w:pPr>
    </w:p>
    <w:p w:rsidR="00B12490" w:rsidRPr="00043CE1" w:rsidRDefault="00B12490" w:rsidP="00B12490">
      <w:pPr>
        <w:tabs>
          <w:tab w:val="left" w:pos="7110"/>
        </w:tabs>
        <w:spacing w:after="0" w:line="240" w:lineRule="auto"/>
        <w:ind w:left="708"/>
        <w:rPr>
          <w:sz w:val="16"/>
          <w:szCs w:val="16"/>
        </w:rPr>
      </w:pPr>
      <w:r>
        <w:rPr>
          <w:noProof/>
          <w:lang w:eastAsia="fr-FR"/>
        </w:rPr>
        <w:drawing>
          <wp:anchor distT="0" distB="0" distL="114300" distR="114300" simplePos="0" relativeHeight="251661312" behindDoc="1" locked="0" layoutInCell="1" allowOverlap="1" wp14:anchorId="0D149301" wp14:editId="69583AC5">
            <wp:simplePos x="0" y="0"/>
            <wp:positionH relativeFrom="column">
              <wp:posOffset>78105</wp:posOffset>
            </wp:positionH>
            <wp:positionV relativeFrom="paragraph">
              <wp:posOffset>-9525</wp:posOffset>
            </wp:positionV>
            <wp:extent cx="290830" cy="266700"/>
            <wp:effectExtent l="0" t="0" r="0" b="0"/>
            <wp:wrapNone/>
            <wp:docPr id="1" name="Image 1" descr="C:\Users\abracq\AppData\Local\Microsoft\Windows\Temporary Internet Files\Content.IE5\8T11ONUP\838px-Pictograme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abracq\AppData\Local\Microsoft\Windows\Temporary Internet Files\Content.IE5\8T11ONUP\838px-Pictograme_Attentio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83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15A">
        <w:rPr>
          <w:sz w:val="16"/>
          <w:szCs w:val="16"/>
        </w:rPr>
        <w:t xml:space="preserve">Si le collège des représentants du personnel donne un avis défavorable unanime sur cette question, elle fait l'objet d'un réexamen et donne lieu à une nouvelle </w:t>
      </w:r>
      <w:r>
        <w:rPr>
          <w:sz w:val="16"/>
          <w:szCs w:val="16"/>
        </w:rPr>
        <w:t>consultation du comité social territorial</w:t>
      </w:r>
      <w:r w:rsidRPr="0056315A">
        <w:rPr>
          <w:sz w:val="16"/>
          <w:szCs w:val="16"/>
        </w:rPr>
        <w:t xml:space="preserve"> dans un délai qui ne peut être inférieur à 8 jours et excéder 30 jours.</w:t>
      </w:r>
    </w:p>
    <w:p w:rsidR="00B12490" w:rsidRDefault="00B12490" w:rsidP="00B12490"/>
    <w:p w:rsidR="00703769" w:rsidRDefault="00703769"/>
    <w:p w:rsidR="00D04C9E" w:rsidRDefault="00D04C9E" w:rsidP="00D04C9E">
      <w:pPr>
        <w:tabs>
          <w:tab w:val="right" w:leader="dot" w:pos="5500"/>
        </w:tabs>
        <w:autoSpaceDE w:val="0"/>
        <w:autoSpaceDN w:val="0"/>
        <w:spacing w:after="0" w:line="240" w:lineRule="auto"/>
        <w:ind w:left="227"/>
        <w:jc w:val="center"/>
        <w:rPr>
          <w:rFonts w:eastAsia="Times New Roman" w:cs="Calibri"/>
          <w:b/>
          <w:bCs/>
          <w:sz w:val="24"/>
          <w:szCs w:val="24"/>
          <w:lang w:eastAsia="fr-FR"/>
        </w:rPr>
      </w:pPr>
    </w:p>
    <w:p w:rsidR="00D04C9E" w:rsidRPr="0029331C" w:rsidRDefault="00D04C9E" w:rsidP="00D04C9E">
      <w:pPr>
        <w:tabs>
          <w:tab w:val="right" w:leader="dot" w:pos="5500"/>
        </w:tabs>
        <w:autoSpaceDE w:val="0"/>
        <w:autoSpaceDN w:val="0"/>
        <w:spacing w:after="0" w:line="240" w:lineRule="auto"/>
        <w:ind w:left="227"/>
        <w:jc w:val="center"/>
        <w:rPr>
          <w:rFonts w:eastAsia="Times New Roman" w:cs="Calibri"/>
          <w:b/>
          <w:bCs/>
          <w:sz w:val="24"/>
          <w:szCs w:val="24"/>
          <w:lang w:eastAsia="fr-FR"/>
        </w:rPr>
      </w:pPr>
      <w:r>
        <w:rPr>
          <w:rFonts w:eastAsia="Times New Roman" w:cs="Calibri"/>
          <w:b/>
          <w:bCs/>
          <w:sz w:val="24"/>
          <w:szCs w:val="24"/>
          <w:lang w:eastAsia="fr-FR"/>
        </w:rPr>
        <w:t xml:space="preserve">DELIBERATION PORTANT VERSEMENT D’UNE PRIME DE POUVOIR D’ACHAT EXCEPTIONNELLE POUR CERTAINS AGENTS PUBLICS DE LA FONCTION PUBLIQUE TERRITORIALE </w:t>
      </w:r>
    </w:p>
    <w:p w:rsidR="00B450A4" w:rsidRPr="0029331C" w:rsidRDefault="00B450A4" w:rsidP="00B450A4">
      <w:pPr>
        <w:autoSpaceDE w:val="0"/>
        <w:autoSpaceDN w:val="0"/>
        <w:spacing w:after="0" w:line="240" w:lineRule="auto"/>
        <w:jc w:val="both"/>
        <w:rPr>
          <w:rFonts w:eastAsia="Times New Roman" w:cs="Calibri"/>
          <w:sz w:val="21"/>
          <w:szCs w:val="21"/>
          <w:lang w:eastAsia="fr-FR"/>
        </w:rPr>
      </w:pPr>
    </w:p>
    <w:p w:rsidR="00B450A4" w:rsidRPr="0029331C" w:rsidRDefault="00B450A4" w:rsidP="00B450A4">
      <w:pPr>
        <w:autoSpaceDE w:val="0"/>
        <w:autoSpaceDN w:val="0"/>
        <w:spacing w:after="0" w:line="240" w:lineRule="auto"/>
        <w:jc w:val="both"/>
        <w:rPr>
          <w:rFonts w:eastAsia="Times New Roman" w:cs="Calibri"/>
          <w:sz w:val="21"/>
          <w:szCs w:val="21"/>
          <w:lang w:eastAsia="fr-FR"/>
        </w:rPr>
      </w:pP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Pour rappel, parmi les mesures de revalorisation salariales annoncées par le ministre de la Transformation et de la Fonction publiques, figurait le versement d’une prime exceptionnelle visant à améliorer le pouvoir d’achat des fonctionnaires et contractuels.</w:t>
      </w:r>
    </w:p>
    <w:p w:rsidR="00B450A4" w:rsidRPr="0029331C" w:rsidRDefault="00B450A4" w:rsidP="00B450A4">
      <w:pPr>
        <w:tabs>
          <w:tab w:val="left" w:pos="4230"/>
        </w:tabs>
        <w:suppressAutoHyphens/>
        <w:autoSpaceDN w:val="0"/>
        <w:spacing w:after="0" w:line="240" w:lineRule="auto"/>
        <w:jc w:val="both"/>
        <w:textAlignment w:val="baseline"/>
        <w:rPr>
          <w:rFonts w:eastAsia="Times New Roman" w:cs="Calibri"/>
          <w:kern w:val="3"/>
          <w:sz w:val="21"/>
          <w:szCs w:val="21"/>
          <w:lang w:eastAsia="zh-CN"/>
        </w:rPr>
      </w:pPr>
      <w:r>
        <w:rPr>
          <w:rFonts w:eastAsia="Times New Roman" w:cs="Calibri"/>
          <w:kern w:val="3"/>
          <w:sz w:val="21"/>
          <w:szCs w:val="21"/>
          <w:lang w:eastAsia="zh-CN"/>
        </w:rPr>
        <w:tab/>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Un décret du 31 octobre 2023 a été publié afin de préciser les conditions et modalités de versement de cette prime de pouvoir d’achat exceptionnelle forfaitaire, dans la limite du plafond prévu pour chaque niveau de rémunération défini par le barème suivant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7"/>
      </w:tblGrid>
      <w:tr w:rsidR="00B450A4" w:rsidRPr="0029331C" w:rsidTr="00F6611D">
        <w:tc>
          <w:tcPr>
            <w:tcW w:w="6912" w:type="dxa"/>
            <w:shd w:val="clear" w:color="auto" w:fill="auto"/>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Rémunération brute perçue au titre de la période courant du 1</w:t>
            </w:r>
            <w:r w:rsidRPr="0029331C">
              <w:rPr>
                <w:rFonts w:eastAsia="Times New Roman" w:cs="Calibri"/>
                <w:sz w:val="21"/>
                <w:szCs w:val="21"/>
                <w:vertAlign w:val="superscript"/>
                <w:lang w:eastAsia="fr-FR"/>
              </w:rPr>
              <w:t>er</w:t>
            </w:r>
            <w:r w:rsidRPr="0029331C">
              <w:rPr>
                <w:rFonts w:eastAsia="Times New Roman" w:cs="Calibri"/>
                <w:sz w:val="21"/>
                <w:szCs w:val="21"/>
                <w:lang w:eastAsia="fr-FR"/>
              </w:rPr>
              <w:t xml:space="preserve"> juillet 2022 au 30 juin 2023</w:t>
            </w:r>
          </w:p>
        </w:tc>
        <w:tc>
          <w:tcPr>
            <w:tcW w:w="2867" w:type="dxa"/>
            <w:shd w:val="clear" w:color="auto" w:fill="auto"/>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 xml:space="preserve">Montant </w:t>
            </w:r>
            <w:r w:rsidRPr="0029331C">
              <w:rPr>
                <w:rFonts w:eastAsia="Times New Roman" w:cs="Calibri"/>
                <w:b/>
                <w:bCs/>
                <w:sz w:val="21"/>
                <w:szCs w:val="21"/>
                <w:lang w:eastAsia="fr-FR"/>
              </w:rPr>
              <w:t>maximum</w:t>
            </w:r>
            <w:r w:rsidRPr="0029331C">
              <w:rPr>
                <w:rFonts w:eastAsia="Times New Roman" w:cs="Calibri"/>
                <w:sz w:val="21"/>
                <w:szCs w:val="21"/>
                <w:lang w:eastAsia="fr-FR"/>
              </w:rPr>
              <w:t xml:space="preserve"> de la prime du pouvoir d’achat</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Inférieure ou égale à 23 700 €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800 €</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23 700 € et inférieure ou égale à 27 300 €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700 €</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27 300 € et inférieure ou égale à 29 160 €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600 €</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29 160 € et inférieure ou égale à 30 840 €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500 €</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30 840 € et inférieure ou égale à 32 280 €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400 €</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32 280 € et inférieure ou égale à 33 600 €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350 €</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33 600 € et inférieure ou égale à 39 000 €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300 €</w:t>
            </w:r>
          </w:p>
        </w:tc>
      </w:tr>
    </w:tbl>
    <w:p w:rsidR="0073272F" w:rsidRDefault="0073272F" w:rsidP="0073272F">
      <w:pPr>
        <w:jc w:val="both"/>
      </w:pPr>
    </w:p>
    <w:p w:rsidR="0073272F" w:rsidRPr="0073272F" w:rsidRDefault="0073272F" w:rsidP="0073272F">
      <w:pPr>
        <w:jc w:val="both"/>
        <w:rPr>
          <w:sz w:val="21"/>
          <w:szCs w:val="21"/>
        </w:rPr>
      </w:pPr>
      <w:r w:rsidRPr="0073272F">
        <w:rPr>
          <w:sz w:val="21"/>
          <w:szCs w:val="21"/>
        </w:rPr>
        <w:t>Le montant de la prime est réduit à proportion de la quotité de travail et de la durée d'emploi sur la période du 1er juillet 2022 au 30 juin 2023.</w:t>
      </w:r>
    </w:p>
    <w:p w:rsidR="00B450A4" w:rsidRPr="0029331C" w:rsidRDefault="00B450A4" w:rsidP="00B450A4">
      <w:pPr>
        <w:spacing w:before="100" w:beforeAutospacing="1" w:after="100" w:afterAutospacing="1" w:line="240" w:lineRule="auto"/>
        <w:rPr>
          <w:rFonts w:eastAsia="Times New Roman" w:cs="Calibri"/>
          <w:sz w:val="21"/>
          <w:szCs w:val="21"/>
          <w:lang w:eastAsia="fr-FR"/>
        </w:rPr>
      </w:pPr>
      <w:r w:rsidRPr="0029331C">
        <w:rPr>
          <w:rFonts w:eastAsia="Times New Roman" w:cs="Calibri"/>
          <w:sz w:val="21"/>
          <w:szCs w:val="21"/>
          <w:lang w:eastAsia="fr-FR"/>
        </w:rPr>
        <w:t>Le décret du 31 octobre 2023 prévoit que, pour bénéficier de cette prime, les agents publics doivent :</w:t>
      </w:r>
    </w:p>
    <w:p w:rsidR="00B450A4" w:rsidRPr="0029331C" w:rsidRDefault="00B450A4" w:rsidP="00B450A4">
      <w:pPr>
        <w:numPr>
          <w:ilvl w:val="0"/>
          <w:numId w:val="1"/>
        </w:numPr>
        <w:autoSpaceDE w:val="0"/>
        <w:autoSpaceDN w:val="0"/>
        <w:spacing w:after="0" w:line="240" w:lineRule="auto"/>
        <w:ind w:left="567" w:hanging="357"/>
        <w:rPr>
          <w:rFonts w:eastAsia="Times New Roman" w:cs="Calibri"/>
          <w:sz w:val="21"/>
          <w:szCs w:val="21"/>
          <w:lang w:eastAsia="fr-FR"/>
        </w:rPr>
      </w:pPr>
      <w:r w:rsidRPr="0029331C">
        <w:rPr>
          <w:rFonts w:eastAsia="Times New Roman" w:cs="Calibri"/>
          <w:sz w:val="21"/>
          <w:szCs w:val="21"/>
          <w:lang w:eastAsia="fr-FR"/>
        </w:rPr>
        <w:t>Avoir été nommés ou recrutés par un employeur public à une date d’effet antérieure au 1</w:t>
      </w:r>
      <w:r w:rsidRPr="0029331C">
        <w:rPr>
          <w:rFonts w:eastAsia="Times New Roman" w:cs="Calibri"/>
          <w:sz w:val="21"/>
          <w:szCs w:val="21"/>
          <w:vertAlign w:val="superscript"/>
          <w:lang w:eastAsia="fr-FR"/>
        </w:rPr>
        <w:t>er</w:t>
      </w:r>
      <w:r w:rsidRPr="0029331C">
        <w:rPr>
          <w:rFonts w:eastAsia="Times New Roman" w:cs="Calibri"/>
          <w:sz w:val="21"/>
          <w:szCs w:val="21"/>
          <w:lang w:eastAsia="fr-FR"/>
        </w:rPr>
        <w:t xml:space="preserve"> janvier 2023 ;</w:t>
      </w:r>
    </w:p>
    <w:p w:rsidR="00B450A4" w:rsidRPr="0029331C" w:rsidRDefault="00B450A4" w:rsidP="00B450A4">
      <w:pPr>
        <w:numPr>
          <w:ilvl w:val="0"/>
          <w:numId w:val="1"/>
        </w:numPr>
        <w:autoSpaceDE w:val="0"/>
        <w:autoSpaceDN w:val="0"/>
        <w:spacing w:after="0" w:line="240" w:lineRule="auto"/>
        <w:ind w:left="567" w:hanging="357"/>
        <w:rPr>
          <w:rFonts w:eastAsia="Times New Roman" w:cs="Calibri"/>
          <w:sz w:val="21"/>
          <w:szCs w:val="21"/>
          <w:lang w:eastAsia="fr-FR"/>
        </w:rPr>
      </w:pPr>
      <w:r w:rsidRPr="0029331C">
        <w:rPr>
          <w:rFonts w:eastAsia="Times New Roman" w:cs="Calibri"/>
          <w:sz w:val="21"/>
          <w:szCs w:val="21"/>
          <w:lang w:eastAsia="fr-FR"/>
        </w:rPr>
        <w:t>Être employés et rémunérés par un employeur public au 30 juin 2023.</w:t>
      </w:r>
    </w:p>
    <w:p w:rsidR="00B450A4" w:rsidRPr="0029331C" w:rsidRDefault="00B450A4" w:rsidP="00B450A4">
      <w:pPr>
        <w:numPr>
          <w:ilvl w:val="0"/>
          <w:numId w:val="1"/>
        </w:numPr>
        <w:autoSpaceDE w:val="0"/>
        <w:autoSpaceDN w:val="0"/>
        <w:spacing w:after="0" w:line="240" w:lineRule="auto"/>
        <w:ind w:left="567" w:hanging="357"/>
        <w:rPr>
          <w:rFonts w:eastAsia="Times New Roman" w:cs="Calibri"/>
          <w:sz w:val="21"/>
          <w:szCs w:val="21"/>
          <w:lang w:eastAsia="fr-FR"/>
        </w:rPr>
      </w:pPr>
      <w:r w:rsidRPr="0029331C">
        <w:rPr>
          <w:rFonts w:eastAsia="Times New Roman" w:cs="Calibri"/>
          <w:sz w:val="21"/>
          <w:szCs w:val="21"/>
          <w:lang w:eastAsia="fr-FR"/>
        </w:rPr>
        <w:t>Avoir perçu une rémunération brute inférieure ou égale à 39 000 euros au titre de la période courant du 1er juillet 2022 au 30 juin 2023.</w:t>
      </w:r>
    </w:p>
    <w:p w:rsidR="00B450A4" w:rsidRPr="0029331C" w:rsidRDefault="00B450A4" w:rsidP="00B450A4">
      <w:pPr>
        <w:spacing w:before="100" w:beforeAutospacing="1" w:after="100" w:afterAutospacing="1" w:line="240" w:lineRule="auto"/>
        <w:rPr>
          <w:rFonts w:eastAsia="Times New Roman" w:cs="Calibri"/>
          <w:sz w:val="21"/>
          <w:szCs w:val="21"/>
          <w:lang w:eastAsia="fr-FR"/>
        </w:rPr>
      </w:pPr>
      <w:r w:rsidRPr="0029331C">
        <w:rPr>
          <w:rFonts w:eastAsia="Times New Roman" w:cs="Calibri"/>
          <w:sz w:val="21"/>
          <w:szCs w:val="21"/>
          <w:lang w:eastAsia="fr-FR"/>
        </w:rPr>
        <w:t>La rémunération brute perçue au cours de la période courant du 1er juillet 2022 au 30 juin 2023 est déterminée en déduisant l’indemnité dite de la garantie individuelle du pouvoir d’achat (GIPA) ainsi que les indemnités horaires pour travaux supplémentaires (IHTS).</w:t>
      </w:r>
    </w:p>
    <w:p w:rsidR="00B450A4" w:rsidRPr="0029331C" w:rsidRDefault="00B450A4" w:rsidP="00B450A4">
      <w:pPr>
        <w:spacing w:before="100" w:beforeAutospacing="1" w:after="100" w:afterAutospacing="1" w:line="240" w:lineRule="auto"/>
        <w:rPr>
          <w:rFonts w:eastAsia="Times New Roman" w:cs="Calibri"/>
          <w:sz w:val="21"/>
          <w:szCs w:val="21"/>
          <w:lang w:eastAsia="fr-FR"/>
        </w:rPr>
      </w:pPr>
      <w:r w:rsidRPr="0029331C">
        <w:rPr>
          <w:rFonts w:eastAsia="Times New Roman" w:cs="Calibri"/>
          <w:sz w:val="21"/>
          <w:szCs w:val="21"/>
          <w:lang w:eastAsia="fr-FR"/>
        </w:rPr>
        <w:lastRenderedPageBreak/>
        <w:t>Le texte définit l’employeur compétent pour le versement de la prime et détermine les modalités de calcul de la rémunération brute précitée en cas de pluralité d’employeurs ou en cas d’emploi et de rémunération sur une partie de la période courant du 1er juillet 2022 au 30 juin 2023.</w:t>
      </w:r>
    </w:p>
    <w:p w:rsidR="00B450A4" w:rsidRPr="0029331C" w:rsidRDefault="00B450A4" w:rsidP="00B450A4">
      <w:pPr>
        <w:spacing w:before="100" w:beforeAutospacing="1" w:after="100" w:afterAutospacing="1" w:line="240" w:lineRule="auto"/>
        <w:rPr>
          <w:rFonts w:eastAsia="Times New Roman" w:cs="Calibri"/>
          <w:sz w:val="21"/>
          <w:szCs w:val="21"/>
          <w:lang w:eastAsia="fr-FR"/>
        </w:rPr>
      </w:pPr>
      <w:r w:rsidRPr="0029331C">
        <w:rPr>
          <w:rFonts w:eastAsia="Times New Roman" w:cs="Calibri"/>
          <w:sz w:val="21"/>
          <w:szCs w:val="21"/>
          <w:lang w:eastAsia="fr-FR"/>
        </w:rPr>
        <w:t>Il fixe le barème applicable en fonction de la rémunération brute perçue au titre de la période du 1er juillet 2022 au 30 juin 2023, comme suit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br w:type="page"/>
      </w:r>
      <w:r w:rsidRPr="0029331C">
        <w:rPr>
          <w:rFonts w:eastAsia="Times New Roman" w:cs="Calibri"/>
          <w:kern w:val="3"/>
          <w:sz w:val="21"/>
          <w:szCs w:val="21"/>
          <w:lang w:eastAsia="zh-CN"/>
        </w:rPr>
        <w:lastRenderedPageBreak/>
        <w:t>Vu le Code Général de la Fonction Publique ;</w:t>
      </w:r>
    </w:p>
    <w:p w:rsidR="00B450A4" w:rsidRPr="0029331C" w:rsidRDefault="00B450A4" w:rsidP="00B450A4">
      <w:pPr>
        <w:autoSpaceDE w:val="0"/>
        <w:autoSpaceDN w:val="0"/>
        <w:spacing w:after="0" w:line="240" w:lineRule="auto"/>
        <w:jc w:val="both"/>
        <w:rPr>
          <w:rFonts w:eastAsia="Times New Roman" w:cs="Calibri"/>
          <w:sz w:val="21"/>
          <w:szCs w:val="21"/>
          <w:lang w:eastAsia="fr-FR"/>
        </w:rPr>
      </w:pPr>
    </w:p>
    <w:p w:rsidR="00B450A4" w:rsidRPr="0029331C" w:rsidRDefault="00B450A4" w:rsidP="00B450A4">
      <w:pPr>
        <w:autoSpaceDE w:val="0"/>
        <w:autoSpaceDN w:val="0"/>
        <w:spacing w:after="0" w:line="240" w:lineRule="auto"/>
        <w:jc w:val="both"/>
        <w:rPr>
          <w:rFonts w:eastAsia="Times New Roman" w:cs="Calibri"/>
          <w:sz w:val="21"/>
          <w:szCs w:val="21"/>
          <w:lang w:eastAsia="fr-FR"/>
        </w:rPr>
      </w:pPr>
      <w:r w:rsidRPr="0029331C">
        <w:rPr>
          <w:rFonts w:eastAsia="Times New Roman" w:cs="Calibri"/>
          <w:sz w:val="21"/>
          <w:szCs w:val="21"/>
          <w:lang w:eastAsia="fr-FR"/>
        </w:rPr>
        <w:t>Vu la loi n° 2022-1158 du 16 août 2022 portant mesures d’urgence pour la protection du pouvoir d’achat ;</w:t>
      </w:r>
    </w:p>
    <w:p w:rsidR="00B450A4" w:rsidRPr="0029331C" w:rsidRDefault="00B450A4" w:rsidP="00B450A4">
      <w:pPr>
        <w:autoSpaceDE w:val="0"/>
        <w:autoSpaceDN w:val="0"/>
        <w:spacing w:after="0" w:line="240" w:lineRule="auto"/>
        <w:jc w:val="both"/>
        <w:rPr>
          <w:rFonts w:eastAsia="Times New Roman" w:cs="Calibri"/>
          <w:sz w:val="21"/>
          <w:szCs w:val="21"/>
          <w:lang w:eastAsia="fr-FR"/>
        </w:rPr>
      </w:pPr>
    </w:p>
    <w:p w:rsidR="00B450A4" w:rsidRPr="0029331C" w:rsidRDefault="00B450A4" w:rsidP="00B450A4">
      <w:pPr>
        <w:autoSpaceDE w:val="0"/>
        <w:autoSpaceDN w:val="0"/>
        <w:spacing w:after="0" w:line="240" w:lineRule="auto"/>
        <w:jc w:val="both"/>
        <w:rPr>
          <w:rFonts w:eastAsia="Times New Roman" w:cs="Calibri"/>
          <w:sz w:val="21"/>
          <w:szCs w:val="21"/>
          <w:lang w:eastAsia="fr-FR"/>
        </w:rPr>
      </w:pPr>
      <w:r w:rsidRPr="0029331C">
        <w:rPr>
          <w:rFonts w:eastAsia="Times New Roman" w:cs="Calibri"/>
          <w:sz w:val="21"/>
          <w:szCs w:val="21"/>
          <w:lang w:eastAsia="fr-FR"/>
        </w:rPr>
        <w:t>Vu le décret n° 2021-571 du 10 mai 2021 relatif aux comités sociaux territoriaux des collectivités territoriales et de leurs établissements publics ;</w:t>
      </w:r>
    </w:p>
    <w:p w:rsidR="00B450A4" w:rsidRPr="0029331C" w:rsidRDefault="00B450A4" w:rsidP="00B450A4">
      <w:pPr>
        <w:autoSpaceDE w:val="0"/>
        <w:autoSpaceDN w:val="0"/>
        <w:spacing w:after="0" w:line="240" w:lineRule="auto"/>
        <w:jc w:val="both"/>
        <w:rPr>
          <w:rFonts w:eastAsia="Times New Roman" w:cs="Calibri"/>
          <w:sz w:val="21"/>
          <w:szCs w:val="21"/>
          <w:lang w:eastAsia="fr-FR"/>
        </w:rPr>
      </w:pPr>
    </w:p>
    <w:p w:rsidR="00B450A4" w:rsidRPr="0029331C" w:rsidRDefault="00B450A4" w:rsidP="00B450A4">
      <w:pPr>
        <w:autoSpaceDE w:val="0"/>
        <w:autoSpaceDN w:val="0"/>
        <w:spacing w:after="0" w:line="240" w:lineRule="auto"/>
        <w:jc w:val="both"/>
        <w:rPr>
          <w:rFonts w:eastAsia="Times New Roman" w:cs="Calibri"/>
          <w:sz w:val="21"/>
          <w:szCs w:val="21"/>
          <w:lang w:eastAsia="fr-FR"/>
        </w:rPr>
      </w:pPr>
      <w:r w:rsidRPr="0029331C">
        <w:rPr>
          <w:rFonts w:eastAsia="Times New Roman" w:cs="Calibri"/>
          <w:sz w:val="21"/>
          <w:szCs w:val="21"/>
          <w:lang w:eastAsia="fr-FR"/>
        </w:rPr>
        <w:t>Vu le décret n° 2023-1006 du 31 octobre 2023 portant création d’une prime de pouvoir d’achat exceptionnelle pour certains agents publics de la fonction publique territoriale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D04C9E" w:rsidP="00B450A4">
      <w:pPr>
        <w:suppressAutoHyphens/>
        <w:autoSpaceDN w:val="0"/>
        <w:spacing w:after="0" w:line="240" w:lineRule="auto"/>
        <w:jc w:val="both"/>
        <w:textAlignment w:val="baseline"/>
        <w:rPr>
          <w:rFonts w:eastAsia="Times New Roman" w:cs="Calibri"/>
          <w:kern w:val="3"/>
          <w:sz w:val="21"/>
          <w:szCs w:val="21"/>
          <w:lang w:eastAsia="zh-CN"/>
        </w:rPr>
      </w:pPr>
      <w:r>
        <w:rPr>
          <w:rFonts w:eastAsia="Times New Roman" w:cs="Calibri"/>
          <w:kern w:val="3"/>
          <w:sz w:val="21"/>
          <w:szCs w:val="21"/>
          <w:lang w:eastAsia="zh-CN"/>
        </w:rPr>
        <w:t>Vu l’avis du Comité Social T</w:t>
      </w:r>
      <w:r w:rsidR="00B450A4" w:rsidRPr="0029331C">
        <w:rPr>
          <w:rFonts w:eastAsia="Times New Roman" w:cs="Calibri"/>
          <w:kern w:val="3"/>
          <w:sz w:val="21"/>
          <w:szCs w:val="21"/>
          <w:lang w:eastAsia="zh-CN"/>
        </w:rPr>
        <w:t>erritorial en date du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Considérant que le montant de la prime est modulable en fonction du niveau de rémunération des agents de la collectivité, dans une certaine limite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D04C9E" w:rsidP="00B450A4">
      <w:pPr>
        <w:suppressAutoHyphens/>
        <w:autoSpaceDN w:val="0"/>
        <w:spacing w:after="0" w:line="240" w:lineRule="auto"/>
        <w:jc w:val="both"/>
        <w:textAlignment w:val="baseline"/>
        <w:rPr>
          <w:rFonts w:eastAsia="Times New Roman" w:cs="Calibri"/>
          <w:kern w:val="3"/>
          <w:sz w:val="21"/>
          <w:szCs w:val="21"/>
          <w:lang w:eastAsia="zh-CN"/>
        </w:rPr>
      </w:pPr>
      <w:r>
        <w:rPr>
          <w:rFonts w:eastAsia="Times New Roman" w:cs="Calibri"/>
          <w:kern w:val="3"/>
          <w:sz w:val="21"/>
          <w:szCs w:val="21"/>
          <w:lang w:eastAsia="zh-CN"/>
        </w:rPr>
        <w:t>Considérant que</w:t>
      </w:r>
      <w:r w:rsidR="00B450A4" w:rsidRPr="0029331C">
        <w:rPr>
          <w:rFonts w:eastAsia="Times New Roman" w:cs="Calibri"/>
          <w:kern w:val="3"/>
          <w:sz w:val="21"/>
          <w:szCs w:val="21"/>
          <w:lang w:eastAsia="zh-CN"/>
        </w:rPr>
        <w:t xml:space="preserve"> la prime peut être versée en une ou plusieurs fractions avant le 30 juin 2024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Le Conseil municipal / Conseil d’administration / Conseil communautaire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 décide d’attribuer une prime de pouvoir d’achat exceptionnelle aux agents remplissant les conditions fixées par le décret n° 2023-1006 du 31 octobre 2023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
    <w:p w:rsidR="00B450A4" w:rsidRPr="0029331C" w:rsidRDefault="00B450A4" w:rsidP="00B450A4">
      <w:pPr>
        <w:suppressAutoHyphens/>
        <w:autoSpaceDN w:val="0"/>
        <w:spacing w:after="0" w:line="240" w:lineRule="auto"/>
        <w:jc w:val="both"/>
        <w:textAlignment w:val="baseline"/>
        <w:rPr>
          <w:rFonts w:eastAsia="Times New Roman" w:cs="Calibri"/>
          <w:color w:val="000000"/>
          <w:kern w:val="3"/>
          <w:sz w:val="21"/>
          <w:szCs w:val="21"/>
          <w:lang w:val="fr" w:eastAsia="zh-CN"/>
        </w:rPr>
      </w:pPr>
      <w:r w:rsidRPr="0029331C">
        <w:rPr>
          <w:rFonts w:eastAsia="Times New Roman" w:cs="Calibri"/>
          <w:kern w:val="3"/>
          <w:sz w:val="21"/>
          <w:szCs w:val="21"/>
          <w:lang w:eastAsia="zh-CN"/>
        </w:rPr>
        <w:t>- fixe le montant de la prime dans les proportions suivantes :</w:t>
      </w:r>
      <w:r w:rsidR="0073272F">
        <w:rPr>
          <w:rFonts w:eastAsia="Times New Roman" w:cs="Calibri"/>
          <w:kern w:val="3"/>
          <w:sz w:val="21"/>
          <w:szCs w:val="21"/>
          <w:lang w:eastAsia="zh-CN"/>
        </w:rPr>
        <w:t xml:space="preserve"> </w:t>
      </w:r>
      <w:r w:rsidR="0073272F" w:rsidRPr="0073272F">
        <w:rPr>
          <w:rFonts w:eastAsia="Times New Roman" w:cs="Calibri"/>
          <w:b/>
          <w:color w:val="FF0000"/>
          <w:kern w:val="3"/>
          <w:sz w:val="21"/>
          <w:szCs w:val="21"/>
          <w:lang w:eastAsia="zh-CN"/>
        </w:rPr>
        <w:t>(A COMPLETER)</w:t>
      </w:r>
    </w:p>
    <w:p w:rsidR="00B450A4" w:rsidRPr="0029331C" w:rsidRDefault="00B450A4" w:rsidP="00B450A4">
      <w:pPr>
        <w:tabs>
          <w:tab w:val="left" w:pos="540"/>
        </w:tabs>
        <w:autoSpaceDE w:val="0"/>
        <w:autoSpaceDN w:val="0"/>
        <w:spacing w:after="0" w:line="240" w:lineRule="auto"/>
        <w:jc w:val="both"/>
        <w:rPr>
          <w:rFonts w:eastAsia="Times New Roman" w:cs="Calibri"/>
          <w:sz w:val="21"/>
          <w:szCs w:val="2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7"/>
      </w:tblGrid>
      <w:tr w:rsidR="00B450A4" w:rsidRPr="0029331C" w:rsidTr="00F6611D">
        <w:tc>
          <w:tcPr>
            <w:tcW w:w="6912" w:type="dxa"/>
            <w:shd w:val="clear" w:color="auto" w:fill="auto"/>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Rémunération brute perçue au titre de la période courant du 1</w:t>
            </w:r>
            <w:r w:rsidRPr="0029331C">
              <w:rPr>
                <w:rFonts w:eastAsia="Times New Roman" w:cs="Calibri"/>
                <w:sz w:val="21"/>
                <w:szCs w:val="21"/>
                <w:vertAlign w:val="superscript"/>
                <w:lang w:eastAsia="fr-FR"/>
              </w:rPr>
              <w:t>er</w:t>
            </w:r>
            <w:r w:rsidRPr="0029331C">
              <w:rPr>
                <w:rFonts w:eastAsia="Times New Roman" w:cs="Calibri"/>
                <w:sz w:val="21"/>
                <w:szCs w:val="21"/>
                <w:lang w:eastAsia="fr-FR"/>
              </w:rPr>
              <w:t xml:space="preserve"> juillet 2022 au 30 juin 2023</w:t>
            </w:r>
          </w:p>
        </w:tc>
        <w:tc>
          <w:tcPr>
            <w:tcW w:w="2867" w:type="dxa"/>
            <w:shd w:val="clear" w:color="auto" w:fill="auto"/>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Montant de la prime du pouvoir d’achat</w:t>
            </w: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Inférieure ou égale à 23 700 €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23 700 € et inférieure ou égale à 27 300 €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27 300 € et inférieure ou égale à 29 160 €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29 160 € et inférieure ou égale à 30 840 €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30 840 € et inférieure ou égale à 32 280 €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32 280 € et inférieure ou égale à 33 600 €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r w:rsidR="00B450A4" w:rsidRPr="0029331C" w:rsidTr="00F6611D">
        <w:tc>
          <w:tcPr>
            <w:tcW w:w="6912"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r w:rsidRPr="0029331C">
              <w:rPr>
                <w:rFonts w:eastAsia="Times New Roman" w:cs="Calibri"/>
                <w:sz w:val="21"/>
                <w:szCs w:val="21"/>
                <w:lang w:eastAsia="fr-FR"/>
              </w:rPr>
              <w:t>Supérieure à 33 600 € et inférieure ou égale à 39 000 €</w:t>
            </w:r>
          </w:p>
        </w:tc>
        <w:tc>
          <w:tcPr>
            <w:tcW w:w="2867" w:type="dxa"/>
            <w:shd w:val="clear" w:color="auto" w:fill="auto"/>
            <w:vAlign w:val="center"/>
          </w:tcPr>
          <w:p w:rsidR="00B450A4" w:rsidRPr="0029331C" w:rsidRDefault="00B450A4" w:rsidP="00F6611D">
            <w:pPr>
              <w:spacing w:before="100" w:beforeAutospacing="1" w:after="100" w:afterAutospacing="1" w:line="240" w:lineRule="auto"/>
              <w:jc w:val="center"/>
              <w:rPr>
                <w:rFonts w:eastAsia="Times New Roman" w:cs="Calibri"/>
                <w:sz w:val="21"/>
                <w:szCs w:val="21"/>
                <w:lang w:eastAsia="fr-FR"/>
              </w:rPr>
            </w:pPr>
          </w:p>
        </w:tc>
      </w:tr>
    </w:tbl>
    <w:p w:rsidR="00B450A4" w:rsidRPr="0029331C" w:rsidRDefault="00B450A4" w:rsidP="00B450A4">
      <w:pPr>
        <w:tabs>
          <w:tab w:val="left" w:pos="540"/>
        </w:tabs>
        <w:autoSpaceDE w:val="0"/>
        <w:autoSpaceDN w:val="0"/>
        <w:spacing w:after="0" w:line="240" w:lineRule="auto"/>
        <w:jc w:val="both"/>
        <w:rPr>
          <w:rFonts w:eastAsia="Times New Roman" w:cs="Calibri"/>
          <w:sz w:val="21"/>
          <w:szCs w:val="21"/>
          <w:lang w:eastAsia="fr-FR"/>
        </w:rPr>
      </w:pP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 xml:space="preserve">- décide que cette prime sera versée en une fraction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proofErr w:type="gramStart"/>
      <w:r w:rsidRPr="0029331C">
        <w:rPr>
          <w:rFonts w:eastAsia="Times New Roman" w:cs="Calibri"/>
          <w:kern w:val="3"/>
          <w:sz w:val="21"/>
          <w:szCs w:val="21"/>
          <w:lang w:eastAsia="zh-CN"/>
        </w:rPr>
        <w:t>ou</w:t>
      </w:r>
      <w:proofErr w:type="gramEnd"/>
      <w:r w:rsidRPr="0029331C">
        <w:rPr>
          <w:rFonts w:eastAsia="Times New Roman" w:cs="Calibri"/>
          <w:kern w:val="3"/>
          <w:sz w:val="21"/>
          <w:szCs w:val="21"/>
          <w:lang w:eastAsia="zh-CN"/>
        </w:rPr>
        <w:t xml:space="preserve"> </w:t>
      </w:r>
    </w:p>
    <w:p w:rsidR="00B450A4" w:rsidRPr="0029331C" w:rsidRDefault="00B450A4" w:rsidP="00B450A4">
      <w:pPr>
        <w:suppressAutoHyphens/>
        <w:autoSpaceDN w:val="0"/>
        <w:spacing w:after="0" w:line="240" w:lineRule="auto"/>
        <w:jc w:val="both"/>
        <w:textAlignment w:val="baseline"/>
        <w:rPr>
          <w:rFonts w:eastAsia="Times New Roman" w:cs="Calibri"/>
          <w:kern w:val="3"/>
          <w:sz w:val="21"/>
          <w:szCs w:val="21"/>
          <w:lang w:eastAsia="zh-CN"/>
        </w:rPr>
      </w:pPr>
      <w:r w:rsidRPr="0029331C">
        <w:rPr>
          <w:rFonts w:eastAsia="Times New Roman" w:cs="Calibri"/>
          <w:kern w:val="3"/>
          <w:sz w:val="21"/>
          <w:szCs w:val="21"/>
          <w:lang w:eastAsia="zh-CN"/>
        </w:rPr>
        <w:t>- décide que cette prime sera versée en plusieurs fractions en fonction du calendrier ci-dessous :</w:t>
      </w:r>
    </w:p>
    <w:p w:rsidR="00B450A4" w:rsidRPr="0029331C" w:rsidRDefault="00B450A4" w:rsidP="00B450A4">
      <w:pPr>
        <w:suppressAutoHyphens/>
        <w:autoSpaceDN w:val="0"/>
        <w:spacing w:after="0" w:line="240" w:lineRule="auto"/>
        <w:jc w:val="both"/>
        <w:textAlignment w:val="baseline"/>
        <w:rPr>
          <w:rFonts w:eastAsia="Times New Roman" w:cs="Calibri"/>
          <w:color w:val="000000"/>
          <w:kern w:val="3"/>
          <w:sz w:val="21"/>
          <w:szCs w:val="21"/>
          <w:lang w:val="f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60"/>
        <w:gridCol w:w="3260"/>
      </w:tblGrid>
      <w:tr w:rsidR="00B450A4" w:rsidRPr="0029331C" w:rsidTr="00F6611D">
        <w:tc>
          <w:tcPr>
            <w:tcW w:w="3259"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r w:rsidRPr="0029331C">
              <w:rPr>
                <w:rFonts w:eastAsia="Times New Roman" w:cs="Calibri"/>
                <w:color w:val="000000"/>
                <w:kern w:val="3"/>
                <w:sz w:val="21"/>
                <w:szCs w:val="21"/>
                <w:lang w:val="fr" w:eastAsia="zh-CN"/>
              </w:rPr>
              <w:t>Versement</w:t>
            </w:r>
          </w:p>
        </w:tc>
        <w:tc>
          <w:tcPr>
            <w:tcW w:w="3260"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r w:rsidRPr="0029331C">
              <w:rPr>
                <w:rFonts w:eastAsia="Times New Roman" w:cs="Calibri"/>
                <w:color w:val="000000"/>
                <w:kern w:val="3"/>
                <w:sz w:val="21"/>
                <w:szCs w:val="21"/>
                <w:lang w:val="fr" w:eastAsia="zh-CN"/>
              </w:rPr>
              <w:t>Montant</w:t>
            </w:r>
          </w:p>
        </w:tc>
        <w:tc>
          <w:tcPr>
            <w:tcW w:w="3260"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r w:rsidRPr="0029331C">
              <w:rPr>
                <w:rFonts w:eastAsia="Times New Roman" w:cs="Calibri"/>
                <w:color w:val="000000"/>
                <w:kern w:val="3"/>
                <w:sz w:val="21"/>
                <w:szCs w:val="21"/>
                <w:lang w:val="fr" w:eastAsia="zh-CN"/>
              </w:rPr>
              <w:t>Échéance</w:t>
            </w:r>
          </w:p>
        </w:tc>
      </w:tr>
      <w:tr w:rsidR="00B450A4" w:rsidRPr="0029331C" w:rsidTr="00F6611D">
        <w:tc>
          <w:tcPr>
            <w:tcW w:w="3259"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r w:rsidRPr="0029331C">
              <w:rPr>
                <w:rFonts w:eastAsia="Times New Roman" w:cs="Calibri"/>
                <w:color w:val="000000"/>
                <w:kern w:val="3"/>
                <w:sz w:val="21"/>
                <w:szCs w:val="21"/>
                <w:lang w:val="fr" w:eastAsia="zh-CN"/>
              </w:rPr>
              <w:t>1</w:t>
            </w:r>
            <w:r w:rsidRPr="0029331C">
              <w:rPr>
                <w:rFonts w:eastAsia="Times New Roman" w:cs="Calibri"/>
                <w:color w:val="000000"/>
                <w:kern w:val="3"/>
                <w:sz w:val="21"/>
                <w:szCs w:val="21"/>
                <w:vertAlign w:val="superscript"/>
                <w:lang w:val="fr" w:eastAsia="zh-CN"/>
              </w:rPr>
              <w:t>er</w:t>
            </w:r>
            <w:r w:rsidRPr="0029331C">
              <w:rPr>
                <w:rFonts w:eastAsia="Times New Roman" w:cs="Calibri"/>
                <w:color w:val="000000"/>
                <w:kern w:val="3"/>
                <w:sz w:val="21"/>
                <w:szCs w:val="21"/>
                <w:lang w:val="fr" w:eastAsia="zh-CN"/>
              </w:rPr>
              <w:t xml:space="preserve"> </w:t>
            </w:r>
          </w:p>
        </w:tc>
        <w:tc>
          <w:tcPr>
            <w:tcW w:w="3260"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p>
        </w:tc>
        <w:tc>
          <w:tcPr>
            <w:tcW w:w="3260"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p>
        </w:tc>
      </w:tr>
      <w:tr w:rsidR="00B450A4" w:rsidRPr="0029331C" w:rsidTr="00F6611D">
        <w:tc>
          <w:tcPr>
            <w:tcW w:w="3259"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r w:rsidRPr="0029331C">
              <w:rPr>
                <w:rFonts w:eastAsia="Times New Roman" w:cs="Calibri"/>
                <w:color w:val="000000"/>
                <w:kern w:val="3"/>
                <w:sz w:val="21"/>
                <w:szCs w:val="21"/>
                <w:lang w:val="fr" w:eastAsia="zh-CN"/>
              </w:rPr>
              <w:t>2</w:t>
            </w:r>
            <w:r w:rsidRPr="0029331C">
              <w:rPr>
                <w:rFonts w:eastAsia="Times New Roman" w:cs="Calibri"/>
                <w:color w:val="000000"/>
                <w:kern w:val="3"/>
                <w:sz w:val="21"/>
                <w:szCs w:val="21"/>
                <w:vertAlign w:val="superscript"/>
                <w:lang w:val="fr" w:eastAsia="zh-CN"/>
              </w:rPr>
              <w:t>ème</w:t>
            </w:r>
          </w:p>
        </w:tc>
        <w:tc>
          <w:tcPr>
            <w:tcW w:w="3260"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p>
        </w:tc>
        <w:tc>
          <w:tcPr>
            <w:tcW w:w="3260" w:type="dxa"/>
            <w:shd w:val="clear" w:color="auto" w:fill="auto"/>
          </w:tcPr>
          <w:p w:rsidR="00B450A4" w:rsidRPr="0029331C" w:rsidRDefault="00B450A4" w:rsidP="00F6611D">
            <w:pPr>
              <w:suppressAutoHyphens/>
              <w:autoSpaceDN w:val="0"/>
              <w:spacing w:after="0" w:line="240" w:lineRule="auto"/>
              <w:jc w:val="both"/>
              <w:textAlignment w:val="baseline"/>
              <w:rPr>
                <w:rFonts w:eastAsia="Times New Roman" w:cs="Calibri"/>
                <w:color w:val="000000"/>
                <w:kern w:val="3"/>
                <w:sz w:val="21"/>
                <w:szCs w:val="21"/>
                <w:lang w:val="fr" w:eastAsia="zh-CN"/>
              </w:rPr>
            </w:pPr>
          </w:p>
        </w:tc>
      </w:tr>
    </w:tbl>
    <w:p w:rsidR="00B450A4" w:rsidRPr="0029331C" w:rsidRDefault="00B450A4" w:rsidP="00B450A4">
      <w:pPr>
        <w:suppressAutoHyphens/>
        <w:autoSpaceDN w:val="0"/>
        <w:spacing w:after="0" w:line="240" w:lineRule="auto"/>
        <w:jc w:val="both"/>
        <w:textAlignment w:val="baseline"/>
        <w:rPr>
          <w:rFonts w:eastAsia="Times New Roman" w:cs="Calibri"/>
          <w:color w:val="000000"/>
          <w:kern w:val="3"/>
          <w:sz w:val="21"/>
          <w:szCs w:val="21"/>
          <w:lang w:val="fr" w:eastAsia="zh-CN"/>
        </w:rPr>
      </w:pPr>
    </w:p>
    <w:p w:rsidR="00B450A4" w:rsidRPr="0029331C" w:rsidRDefault="00B450A4" w:rsidP="00B450A4">
      <w:pPr>
        <w:tabs>
          <w:tab w:val="left" w:pos="540"/>
        </w:tabs>
        <w:autoSpaceDE w:val="0"/>
        <w:autoSpaceDN w:val="0"/>
        <w:spacing w:after="0" w:line="240" w:lineRule="auto"/>
        <w:jc w:val="both"/>
        <w:rPr>
          <w:rFonts w:eastAsia="Times New Roman" w:cs="Calibri"/>
          <w:sz w:val="21"/>
          <w:szCs w:val="21"/>
          <w:lang w:eastAsia="fr-FR"/>
        </w:rPr>
      </w:pPr>
      <w:r w:rsidRPr="0029331C">
        <w:rPr>
          <w:rFonts w:eastAsia="Times New Roman" w:cs="Calibri"/>
          <w:sz w:val="21"/>
          <w:szCs w:val="21"/>
          <w:lang w:eastAsia="fr-FR"/>
        </w:rPr>
        <w:t>- Précise que les crédits inscrits au budget primitif sont suffisants.</w:t>
      </w:r>
    </w:p>
    <w:p w:rsidR="00B450A4" w:rsidRPr="0029331C" w:rsidRDefault="00B450A4" w:rsidP="00B450A4">
      <w:pPr>
        <w:tabs>
          <w:tab w:val="left" w:pos="540"/>
        </w:tabs>
        <w:autoSpaceDE w:val="0"/>
        <w:autoSpaceDN w:val="0"/>
        <w:spacing w:after="0" w:line="240" w:lineRule="auto"/>
        <w:jc w:val="both"/>
        <w:rPr>
          <w:rFonts w:eastAsia="Times New Roman" w:cs="Calibri"/>
          <w:sz w:val="21"/>
          <w:szCs w:val="21"/>
          <w:lang w:eastAsia="fr-FR"/>
        </w:rPr>
      </w:pPr>
    </w:p>
    <w:p w:rsidR="00B450A4" w:rsidRPr="0029331C" w:rsidRDefault="00B450A4" w:rsidP="00B450A4">
      <w:pPr>
        <w:tabs>
          <w:tab w:val="left" w:pos="540"/>
        </w:tabs>
        <w:autoSpaceDE w:val="0"/>
        <w:autoSpaceDN w:val="0"/>
        <w:spacing w:after="0" w:line="240" w:lineRule="auto"/>
        <w:jc w:val="both"/>
        <w:rPr>
          <w:rFonts w:eastAsia="Times New Roman" w:cs="Calibri"/>
          <w:sz w:val="21"/>
          <w:szCs w:val="21"/>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lang w:eastAsia="fr-FR"/>
        </w:rPr>
      </w:pPr>
      <w:r w:rsidRPr="0029331C">
        <w:rPr>
          <w:rFonts w:eastAsia="Times New Roman" w:cs="Calibri"/>
          <w:sz w:val="21"/>
          <w:szCs w:val="21"/>
          <w:lang w:eastAsia="fr-FR"/>
        </w:rPr>
        <w:tab/>
        <w:t>Fait à………………………,</w:t>
      </w: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lang w:eastAsia="fr-FR"/>
        </w:rPr>
      </w:pPr>
      <w:r w:rsidRPr="0029331C">
        <w:rPr>
          <w:rFonts w:eastAsia="Times New Roman" w:cs="Calibri"/>
          <w:sz w:val="21"/>
          <w:szCs w:val="21"/>
          <w:lang w:eastAsia="fr-FR"/>
        </w:rPr>
        <w:tab/>
      </w:r>
      <w:proofErr w:type="gramStart"/>
      <w:r w:rsidRPr="0029331C">
        <w:rPr>
          <w:rFonts w:eastAsia="Times New Roman" w:cs="Calibri"/>
          <w:sz w:val="21"/>
          <w:szCs w:val="21"/>
          <w:lang w:eastAsia="fr-FR"/>
        </w:rPr>
        <w:t>le</w:t>
      </w:r>
      <w:proofErr w:type="gramEnd"/>
      <w:r w:rsidRPr="0029331C">
        <w:rPr>
          <w:rFonts w:eastAsia="Times New Roman" w:cs="Calibri"/>
          <w:sz w:val="21"/>
          <w:szCs w:val="21"/>
          <w:lang w:eastAsia="fr-FR"/>
        </w:rPr>
        <w:t>……………………………</w:t>
      </w: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r w:rsidRPr="0029331C">
        <w:rPr>
          <w:rFonts w:eastAsia="Times New Roman" w:cs="Calibri"/>
          <w:sz w:val="21"/>
          <w:szCs w:val="21"/>
          <w:lang w:eastAsia="fr-FR"/>
        </w:rPr>
        <w:tab/>
      </w:r>
      <w:r w:rsidRPr="0029331C">
        <w:rPr>
          <w:rFonts w:eastAsia="Times New Roman" w:cs="Calibri"/>
          <w:sz w:val="21"/>
          <w:szCs w:val="21"/>
          <w:u w:val="single"/>
          <w:lang w:eastAsia="fr-FR"/>
        </w:rPr>
        <w:t>Prénom, Nom et qualité du signataire</w:t>
      </w: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u w:val="single"/>
          <w:lang w:eastAsia="fr-FR"/>
        </w:rPr>
      </w:pPr>
    </w:p>
    <w:p w:rsidR="00B450A4" w:rsidRPr="0029331C" w:rsidRDefault="00B450A4" w:rsidP="00B450A4">
      <w:pPr>
        <w:tabs>
          <w:tab w:val="left" w:pos="4500"/>
        </w:tabs>
        <w:autoSpaceDE w:val="0"/>
        <w:autoSpaceDN w:val="0"/>
        <w:spacing w:after="0" w:line="240" w:lineRule="auto"/>
        <w:jc w:val="both"/>
        <w:rPr>
          <w:rFonts w:eastAsia="Times New Roman" w:cs="Calibri"/>
          <w:sz w:val="21"/>
          <w:szCs w:val="21"/>
          <w:lang w:eastAsia="fr-FR"/>
        </w:rPr>
      </w:pPr>
    </w:p>
    <w:tbl>
      <w:tblPr>
        <w:tblW w:w="0" w:type="auto"/>
        <w:tblInd w:w="-38" w:type="dxa"/>
        <w:tblLayout w:type="fixed"/>
        <w:tblCellMar>
          <w:left w:w="70" w:type="dxa"/>
          <w:right w:w="70" w:type="dxa"/>
        </w:tblCellMar>
        <w:tblLook w:val="0000" w:firstRow="0" w:lastRow="0" w:firstColumn="0" w:lastColumn="0" w:noHBand="0" w:noVBand="0"/>
      </w:tblPr>
      <w:tblGrid>
        <w:gridCol w:w="4248"/>
      </w:tblGrid>
      <w:tr w:rsidR="00B450A4" w:rsidRPr="0029331C" w:rsidTr="00F6611D">
        <w:trPr>
          <w:trHeight w:val="3283"/>
        </w:trPr>
        <w:tc>
          <w:tcPr>
            <w:tcW w:w="4248" w:type="dxa"/>
            <w:tcBorders>
              <w:top w:val="nil"/>
              <w:left w:val="nil"/>
              <w:bottom w:val="nil"/>
              <w:right w:val="nil"/>
            </w:tcBorders>
          </w:tcPr>
          <w:p w:rsidR="00B450A4" w:rsidRPr="0029331C" w:rsidRDefault="00B450A4" w:rsidP="00F6611D">
            <w:pPr>
              <w:autoSpaceDE w:val="0"/>
              <w:autoSpaceDN w:val="0"/>
              <w:spacing w:after="0" w:line="240" w:lineRule="auto"/>
              <w:jc w:val="both"/>
              <w:rPr>
                <w:rFonts w:eastAsia="Times New Roman" w:cs="Calibri"/>
                <w:sz w:val="18"/>
                <w:szCs w:val="18"/>
                <w:lang w:eastAsia="fr-FR"/>
              </w:rPr>
            </w:pPr>
            <w:r w:rsidRPr="0029331C">
              <w:rPr>
                <w:rFonts w:eastAsia="Times New Roman" w:cs="Calibri"/>
                <w:sz w:val="18"/>
                <w:szCs w:val="18"/>
                <w:lang w:eastAsia="fr-FR"/>
              </w:rPr>
              <w:t>Le Maire (</w:t>
            </w:r>
            <w:r w:rsidRPr="0029331C">
              <w:rPr>
                <w:rFonts w:eastAsia="Times New Roman" w:cs="Calibri"/>
                <w:i/>
                <w:iCs/>
                <w:sz w:val="18"/>
                <w:szCs w:val="18"/>
                <w:lang w:eastAsia="fr-FR"/>
              </w:rPr>
              <w:t>ou le Président</w:t>
            </w:r>
            <w:r w:rsidRPr="0029331C">
              <w:rPr>
                <w:rFonts w:eastAsia="Times New Roman" w:cs="Calibri"/>
                <w:sz w:val="18"/>
                <w:szCs w:val="18"/>
                <w:lang w:eastAsia="fr-FR"/>
              </w:rPr>
              <w:t>),</w:t>
            </w:r>
          </w:p>
          <w:p w:rsidR="00B450A4" w:rsidRPr="0029331C" w:rsidRDefault="00B450A4" w:rsidP="00F6611D">
            <w:pPr>
              <w:autoSpaceDE w:val="0"/>
              <w:autoSpaceDN w:val="0"/>
              <w:spacing w:after="0" w:line="240" w:lineRule="auto"/>
              <w:jc w:val="both"/>
              <w:rPr>
                <w:rFonts w:eastAsia="Times New Roman" w:cs="Calibri"/>
                <w:sz w:val="18"/>
                <w:szCs w:val="18"/>
                <w:lang w:eastAsia="fr-FR"/>
              </w:rPr>
            </w:pPr>
            <w:r w:rsidRPr="0029331C">
              <w:rPr>
                <w:rFonts w:eastAsia="Times New Roman" w:cs="Calibri"/>
                <w:sz w:val="18"/>
                <w:szCs w:val="18"/>
                <w:lang w:eastAsia="fr-FR"/>
              </w:rPr>
              <w:t>- certifie sous sa responsabilité le caractère exécutoire de cet acte,</w:t>
            </w:r>
          </w:p>
          <w:p w:rsidR="00B450A4" w:rsidRPr="0029331C" w:rsidRDefault="00B450A4" w:rsidP="00F6611D">
            <w:pPr>
              <w:autoSpaceDE w:val="0"/>
              <w:autoSpaceDN w:val="0"/>
              <w:spacing w:after="0" w:line="240" w:lineRule="auto"/>
              <w:jc w:val="both"/>
              <w:rPr>
                <w:rFonts w:eastAsia="Times New Roman" w:cs="Calibri"/>
                <w:sz w:val="18"/>
                <w:szCs w:val="18"/>
                <w:lang w:eastAsia="fr-FR"/>
              </w:rPr>
            </w:pPr>
            <w:r w:rsidRPr="0029331C">
              <w:rPr>
                <w:rFonts w:eastAsia="Times New Roman" w:cs="Calibri"/>
                <w:sz w:val="18"/>
                <w:szCs w:val="18"/>
                <w:lang w:eastAsia="fr-FR"/>
              </w:rPr>
              <w:t>- informe que la présente délibération peut faire l’objet d’un recours pour excès de pouvoir devant le Tr</w:t>
            </w:r>
            <w:r>
              <w:rPr>
                <w:rFonts w:eastAsia="Times New Roman" w:cs="Calibri"/>
                <w:sz w:val="18"/>
                <w:szCs w:val="18"/>
                <w:lang w:eastAsia="fr-FR"/>
              </w:rPr>
              <w:t>ibunal Administratif d’AMIENS (80</w:t>
            </w:r>
            <w:r w:rsidRPr="0029331C">
              <w:rPr>
                <w:rFonts w:eastAsia="Times New Roman" w:cs="Calibri"/>
                <w:sz w:val="18"/>
                <w:szCs w:val="18"/>
                <w:lang w:eastAsia="fr-FR"/>
              </w:rPr>
              <w:t>) dans un délai de deux mois à compter de sa publication.</w:t>
            </w:r>
          </w:p>
          <w:p w:rsidR="00B450A4" w:rsidRPr="0029331C" w:rsidRDefault="00B450A4" w:rsidP="00F6611D">
            <w:pPr>
              <w:autoSpaceDE w:val="0"/>
              <w:autoSpaceDN w:val="0"/>
              <w:spacing w:after="0" w:line="240" w:lineRule="auto"/>
              <w:jc w:val="both"/>
              <w:rPr>
                <w:rFonts w:eastAsia="Times New Roman" w:cs="Calibri"/>
                <w:sz w:val="18"/>
                <w:szCs w:val="18"/>
                <w:lang w:eastAsia="fr-FR"/>
              </w:rPr>
            </w:pPr>
            <w:r w:rsidRPr="0029331C">
              <w:rPr>
                <w:rFonts w:eastAsia="Times New Roman" w:cs="Calibri"/>
                <w:sz w:val="18"/>
                <w:szCs w:val="18"/>
                <w:lang w:eastAsia="fr-FR"/>
              </w:rPr>
              <w:t>Ce recours peut être déposé sur l’application informatique « </w:t>
            </w:r>
            <w:proofErr w:type="spellStart"/>
            <w:r w:rsidRPr="0029331C">
              <w:rPr>
                <w:rFonts w:eastAsia="Times New Roman" w:cs="Calibri"/>
                <w:sz w:val="18"/>
                <w:szCs w:val="18"/>
                <w:lang w:eastAsia="fr-FR"/>
              </w:rPr>
              <w:t>Télérecours</w:t>
            </w:r>
            <w:proofErr w:type="spellEnd"/>
            <w:r w:rsidRPr="0029331C">
              <w:rPr>
                <w:rFonts w:eastAsia="Times New Roman" w:cs="Calibri"/>
                <w:sz w:val="18"/>
                <w:szCs w:val="18"/>
                <w:lang w:eastAsia="fr-FR"/>
              </w:rPr>
              <w:t xml:space="preserve"> citoyens », accessible par le site : </w:t>
            </w:r>
            <w:hyperlink r:id="rId7" w:history="1">
              <w:r w:rsidRPr="0029331C">
                <w:rPr>
                  <w:rFonts w:eastAsia="Times New Roman" w:cs="Calibri"/>
                  <w:color w:val="0563C1"/>
                  <w:sz w:val="18"/>
                  <w:szCs w:val="18"/>
                  <w:u w:val="single"/>
                  <w:lang w:eastAsia="fr-FR"/>
                </w:rPr>
                <w:t>www.telerecours.fr</w:t>
              </w:r>
            </w:hyperlink>
          </w:p>
          <w:p w:rsidR="00B450A4" w:rsidRPr="0029331C" w:rsidRDefault="00B450A4" w:rsidP="00F6611D">
            <w:pPr>
              <w:autoSpaceDE w:val="0"/>
              <w:autoSpaceDN w:val="0"/>
              <w:spacing w:after="0" w:line="240" w:lineRule="auto"/>
              <w:jc w:val="both"/>
              <w:rPr>
                <w:rFonts w:eastAsia="Times New Roman" w:cs="Calibri"/>
                <w:sz w:val="21"/>
                <w:szCs w:val="21"/>
                <w:lang w:eastAsia="fr-FR"/>
              </w:rPr>
            </w:pPr>
          </w:p>
        </w:tc>
      </w:tr>
    </w:tbl>
    <w:p w:rsidR="00B450A4" w:rsidRDefault="00B450A4"/>
    <w:sectPr w:rsidR="00B450A4" w:rsidSect="002254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936BA"/>
    <w:multiLevelType w:val="multilevel"/>
    <w:tmpl w:val="5CB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A5"/>
    <w:rsid w:val="0001228C"/>
    <w:rsid w:val="000D2D82"/>
    <w:rsid w:val="003B733A"/>
    <w:rsid w:val="00703769"/>
    <w:rsid w:val="00720F4E"/>
    <w:rsid w:val="0073272F"/>
    <w:rsid w:val="007962A5"/>
    <w:rsid w:val="00852908"/>
    <w:rsid w:val="00B12490"/>
    <w:rsid w:val="00B450A4"/>
    <w:rsid w:val="00D04C9E"/>
    <w:rsid w:val="00F74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0D7D-E9F0-494B-AC91-FB6B957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A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5394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Delhorme</dc:creator>
  <cp:keywords/>
  <dc:description/>
  <cp:lastModifiedBy>Siham Lyazrhi</cp:lastModifiedBy>
  <cp:revision>2</cp:revision>
  <dcterms:created xsi:type="dcterms:W3CDTF">2023-11-08T14:50:00Z</dcterms:created>
  <dcterms:modified xsi:type="dcterms:W3CDTF">2023-11-08T14:50:00Z</dcterms:modified>
</cp:coreProperties>
</file>